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30" w:rsidRDefault="00992B30" w:rsidP="00992B30">
      <w:pPr>
        <w:spacing w:line="560" w:lineRule="exact"/>
        <w:ind w:firstLineChars="200" w:firstLine="643"/>
        <w:rPr>
          <w:rFonts w:ascii="黑体" w:eastAsia="黑体" w:hAnsi="黑体" w:hint="eastAsia"/>
          <w:b/>
          <w:bCs/>
          <w:sz w:val="32"/>
          <w:szCs w:val="32"/>
        </w:rPr>
      </w:pPr>
      <w:bookmarkStart w:id="0" w:name="_Toc438197217"/>
      <w:bookmarkStart w:id="1" w:name="_Toc440219249"/>
      <w:r>
        <w:rPr>
          <w:rFonts w:ascii="黑体" w:eastAsia="黑体" w:hAnsi="黑体" w:hint="eastAsia"/>
          <w:b/>
          <w:bCs/>
          <w:sz w:val="32"/>
          <w:szCs w:val="32"/>
        </w:rPr>
        <w:t>六、</w:t>
      </w:r>
      <w:bookmarkEnd w:id="0"/>
      <w:r>
        <w:rPr>
          <w:rFonts w:ascii="黑体" w:eastAsia="黑体" w:hAnsi="黑体" w:hint="eastAsia"/>
          <w:b/>
          <w:bCs/>
          <w:sz w:val="32"/>
          <w:szCs w:val="32"/>
        </w:rPr>
        <w:t>政策保障</w:t>
      </w:r>
      <w:bookmarkEnd w:id="1"/>
    </w:p>
    <w:p w:rsidR="00992B30" w:rsidRDefault="00992B30" w:rsidP="00992B30">
      <w:pPr>
        <w:spacing w:line="560" w:lineRule="exact"/>
        <w:ind w:firstLineChars="199" w:firstLine="639"/>
        <w:rPr>
          <w:rFonts w:ascii="楷体" w:eastAsia="楷体" w:hAnsi="楷体" w:hint="eastAsia"/>
          <w:b/>
          <w:bCs/>
          <w:sz w:val="32"/>
          <w:szCs w:val="32"/>
        </w:rPr>
      </w:pPr>
      <w:r>
        <w:rPr>
          <w:rFonts w:ascii="楷体" w:eastAsia="楷体" w:hAnsi="楷体" w:hint="eastAsia"/>
          <w:b/>
          <w:bCs/>
          <w:sz w:val="32"/>
          <w:szCs w:val="32"/>
        </w:rPr>
        <w:t>（一）全力支持，政府保障切实到位</w:t>
      </w:r>
    </w:p>
    <w:p w:rsidR="00992B30" w:rsidRDefault="00992B30" w:rsidP="00992B30">
      <w:pPr>
        <w:spacing w:line="600" w:lineRule="exact"/>
        <w:ind w:firstLineChars="200" w:firstLine="640"/>
        <w:rPr>
          <w:rFonts w:ascii="仿宋_GB2312" w:eastAsia="仿宋_GB2312"/>
          <w:sz w:val="32"/>
          <w:szCs w:val="32"/>
        </w:rPr>
      </w:pPr>
      <w:r>
        <w:rPr>
          <w:rFonts w:ascii="仿宋_GB2312" w:eastAsia="仿宋_GB2312" w:hint="eastAsia"/>
          <w:sz w:val="32"/>
          <w:szCs w:val="32"/>
        </w:rPr>
        <w:t>汕头市人民政府历来全力支持学院的建设与发展，在政策保障、资金支持等方面长期给予了学院大力支持，汕头市第十一次党代会提出了“要把汕头职业技术学院建成省级示范性高职院校”决议，《汕头市国民经济和社会发展第十三个五年规划纲要》明确提出，“十三五”期间，汕头市着力打造区域性交通航运中心、科教创新中心、商贸物流中心和金融服务中心；进一步发挥高等学校和职业院校的社会服务功能，大力支持“汕头职业技术学院升格为省级示范性高职院校”的目标，全力支持汕头职业技术学院的发展；2017年汕头市政府提供学院10720万元的资金保障，其中专项经费1008万元（含省级专项）。</w:t>
      </w:r>
    </w:p>
    <w:p w:rsidR="00992B30" w:rsidRDefault="00992B30" w:rsidP="00992B30">
      <w:pPr>
        <w:spacing w:line="600" w:lineRule="exact"/>
        <w:ind w:firstLineChars="200" w:firstLine="640"/>
        <w:rPr>
          <w:rFonts w:ascii="仿宋_GB2312" w:eastAsia="仿宋_GB2312"/>
          <w:sz w:val="32"/>
          <w:szCs w:val="32"/>
        </w:rPr>
      </w:pPr>
      <w:r>
        <w:rPr>
          <w:rFonts w:ascii="仿宋_GB2312" w:eastAsia="仿宋_GB2312" w:hint="eastAsia"/>
          <w:sz w:val="32"/>
          <w:szCs w:val="32"/>
        </w:rPr>
        <w:t>汕头市委市政府新一届领导班子高度重视学院的发展，市委陈良贤书记、市长郑剑戈先后到学院调研指导工作，从“融合办学、规范办学、创新办学、适用办学和开门办学”五个方面肯定了学院的办学理念，从办学特色、办学定位及服务地方发展等方面对学院的发展进行指导并提出了要求，要求学院紧抓汕头港口、交通、大数据、新能源、高科技等新兴产业及传统产业改造发展机遇，主动适应汕头产业发展的新形势，调整专业结构，创新人才培养模式，更好地融入汕头市的产业发展。</w:t>
      </w:r>
    </w:p>
    <w:p w:rsidR="00992B30" w:rsidRDefault="00992B30" w:rsidP="00992B30">
      <w:pPr>
        <w:spacing w:line="600" w:lineRule="exact"/>
        <w:ind w:firstLineChars="199" w:firstLine="637"/>
        <w:rPr>
          <w:rFonts w:ascii="楷体" w:eastAsia="楷体" w:hAnsi="楷体" w:hint="eastAsia"/>
          <w:b/>
          <w:bCs/>
          <w:sz w:val="32"/>
          <w:szCs w:val="32"/>
        </w:rPr>
      </w:pPr>
      <w:r>
        <w:rPr>
          <w:rFonts w:ascii="仿宋_GB2312" w:eastAsia="仿宋_GB2312" w:hint="eastAsia"/>
          <w:sz w:val="32"/>
          <w:szCs w:val="32"/>
        </w:rPr>
        <w:t>汕头市政府大力支持学院参与汕头华侨经济文化合作</w:t>
      </w:r>
      <w:r>
        <w:rPr>
          <w:rFonts w:ascii="仿宋_GB2312" w:eastAsia="仿宋_GB2312" w:hint="eastAsia"/>
          <w:sz w:val="32"/>
          <w:szCs w:val="32"/>
        </w:rPr>
        <w:lastRenderedPageBreak/>
        <w:t>试验区建设，市政府相关行局也大力支持、关心学院的建设与发展，比如，汕头市科技局紧抓全面深化科技体制改革加快创新驱动发展的契机，主动与学院签订《关于加强科技创新合作的备忘录》，在政策上对学院科技创新能力的培育和发展进行扶持。</w:t>
      </w:r>
      <w:r>
        <w:rPr>
          <w:rFonts w:ascii="楷体" w:eastAsia="楷体" w:hAnsi="楷体" w:hint="eastAsia"/>
          <w:b/>
          <w:bCs/>
          <w:sz w:val="32"/>
          <w:szCs w:val="32"/>
        </w:rPr>
        <w:t>（二）制度保障，确保教学经费优先</w:t>
      </w:r>
    </w:p>
    <w:p w:rsidR="00992B30" w:rsidRDefault="00992B30" w:rsidP="00992B30">
      <w:pPr>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为不断提高学院办学质量，更好适应和服务地方经济发展，我院首先从制度上给予保障，制定了较为完善的预算及执行管理制度，在年度预算中首先保证教学及实践经费的投入，除学杂费收入中安排教学经费年度预算资金外，中央、省市安排的各项专项资金，只要符合规定的使用用途，基本上均安排用于教学设备设施、教学日常经费及教学实践活动上，从而极大地改善了学院的办学条件。2016年</w:t>
      </w:r>
      <w:r>
        <w:rPr>
          <w:rFonts w:ascii="仿宋_GB2312" w:eastAsia="仿宋_GB2312" w:hint="eastAsia"/>
          <w:sz w:val="32"/>
          <w:szCs w:val="32"/>
        </w:rPr>
        <w:t>学院办学经费总支出12,125.86万元，其中用于教学经费支出2,498.16万元，占总支出的20.6%，校内实践基地设备总值</w:t>
      </w:r>
      <w:r>
        <w:rPr>
          <w:rFonts w:ascii="仿宋_GB2312" w:eastAsia="仿宋_GB2312"/>
          <w:sz w:val="32"/>
          <w:szCs w:val="32"/>
        </w:rPr>
        <w:t>4519.79</w:t>
      </w:r>
      <w:r>
        <w:rPr>
          <w:rFonts w:ascii="仿宋_GB2312" w:eastAsia="仿宋_GB2312" w:hint="eastAsia"/>
          <w:sz w:val="32"/>
          <w:szCs w:val="32"/>
        </w:rPr>
        <w:t>万元。</w:t>
      </w:r>
    </w:p>
    <w:p w:rsidR="00992B30" w:rsidRDefault="00992B30" w:rsidP="00992B30">
      <w:pPr>
        <w:spacing w:line="600" w:lineRule="exact"/>
        <w:ind w:firstLineChars="200" w:firstLine="643"/>
        <w:rPr>
          <w:rFonts w:ascii="楷体" w:eastAsia="楷体" w:hAnsi="楷体"/>
          <w:b/>
          <w:bCs/>
          <w:sz w:val="32"/>
          <w:szCs w:val="32"/>
        </w:rPr>
      </w:pPr>
      <w:r>
        <w:rPr>
          <w:rFonts w:ascii="楷体" w:eastAsia="楷体" w:hAnsi="楷体" w:hint="eastAsia"/>
          <w:b/>
          <w:bCs/>
          <w:sz w:val="32"/>
          <w:szCs w:val="32"/>
        </w:rPr>
        <w:t>（三）扎实推进，诊改工作全面展开</w:t>
      </w:r>
    </w:p>
    <w:p w:rsidR="00992B30" w:rsidRDefault="00992B30" w:rsidP="00992B30">
      <w:pPr>
        <w:spacing w:line="600" w:lineRule="exact"/>
        <w:ind w:firstLineChars="199" w:firstLine="637"/>
        <w:rPr>
          <w:rFonts w:ascii="仿宋_GB2312" w:eastAsia="仿宋_GB2312" w:hAnsi="宋体" w:cs="宋体" w:hint="eastAsia"/>
          <w:sz w:val="32"/>
          <w:szCs w:val="32"/>
        </w:rPr>
      </w:pPr>
      <w:r>
        <w:rPr>
          <w:rFonts w:ascii="仿宋_GB2312" w:eastAsia="仿宋_GB2312" w:hint="eastAsia"/>
          <w:sz w:val="32"/>
          <w:szCs w:val="32"/>
        </w:rPr>
        <w:t>1.逐步完善内部质量保证体系诊改体系，开展多层面多维度的教学诊断与改进工作，确保教学质量不断提升。一是通过召开教学工作会议，进一步健全教学工作诊断与改进制度，全面落实内部质量保证体系诊改工作。会议明确提出建立常态化的人才培养质量自主保证机制，充分发挥教学诊断与改进的作用，进一步健全规范教学管理，持续提高人才培养质量。会议要求各学系（部）、各职能部门根据《</w:t>
      </w:r>
      <w:r>
        <w:rPr>
          <w:rFonts w:ascii="仿宋_GB2312" w:eastAsia="仿宋_GB2312"/>
          <w:sz w:val="32"/>
          <w:szCs w:val="32"/>
        </w:rPr>
        <w:t>高等职</w:t>
      </w:r>
      <w:r>
        <w:rPr>
          <w:rFonts w:ascii="仿宋_GB2312" w:eastAsia="仿宋_GB2312"/>
          <w:sz w:val="32"/>
          <w:szCs w:val="32"/>
        </w:rPr>
        <w:lastRenderedPageBreak/>
        <w:t>业院校内部质量保证体系诊断项目参考表</w:t>
      </w:r>
      <w:r>
        <w:rPr>
          <w:rFonts w:ascii="仿宋_GB2312" w:eastAsia="仿宋_GB2312" w:hint="eastAsia"/>
          <w:sz w:val="32"/>
          <w:szCs w:val="32"/>
        </w:rPr>
        <w:t>》</w:t>
      </w:r>
      <w:r>
        <w:rPr>
          <w:rFonts w:ascii="仿宋_GB2312" w:eastAsia="仿宋_GB2312"/>
          <w:sz w:val="32"/>
          <w:szCs w:val="32"/>
        </w:rPr>
        <w:t>中诊断点</w:t>
      </w:r>
      <w:r>
        <w:rPr>
          <w:rFonts w:ascii="仿宋_GB2312" w:eastAsia="仿宋_GB2312" w:hint="eastAsia"/>
          <w:sz w:val="32"/>
          <w:szCs w:val="32"/>
        </w:rPr>
        <w:t>，</w:t>
      </w:r>
      <w:r>
        <w:rPr>
          <w:rFonts w:ascii="仿宋_GB2312" w:eastAsia="仿宋_GB2312"/>
          <w:sz w:val="32"/>
          <w:szCs w:val="32"/>
        </w:rPr>
        <w:t>对内部质量保证体系运行情况及效果进行自主诊改</w:t>
      </w:r>
      <w:r>
        <w:rPr>
          <w:rFonts w:ascii="仿宋_GB2312" w:eastAsia="仿宋_GB2312" w:hint="eastAsia"/>
          <w:sz w:val="32"/>
          <w:szCs w:val="32"/>
        </w:rPr>
        <w:t>，找出亮点、巩固提升，自查不足、立行立改，开展多层面多维度的教学诊断与改进工作，确保教学质量不断提升</w:t>
      </w:r>
      <w:r>
        <w:rPr>
          <w:rFonts w:ascii="仿宋_GB2312" w:eastAsia="仿宋_GB2312" w:hAnsi="宋体" w:cs="宋体" w:hint="eastAsia"/>
          <w:sz w:val="32"/>
          <w:szCs w:val="32"/>
        </w:rPr>
        <w:t>。</w:t>
      </w:r>
    </w:p>
    <w:p w:rsidR="00992B30" w:rsidRDefault="00992B30" w:rsidP="00992B30">
      <w:pPr>
        <w:spacing w:line="360" w:lineRule="auto"/>
        <w:ind w:firstLineChars="200" w:firstLine="640"/>
        <w:rPr>
          <w:rFonts w:ascii="宋体" w:hAnsi="宋体" w:cs="宋体"/>
          <w:kern w:val="0"/>
          <w:sz w:val="24"/>
        </w:rPr>
      </w:pPr>
      <w:r>
        <w:rPr>
          <w:rFonts w:ascii="仿宋_GB2312" w:eastAsia="仿宋_GB2312" w:hint="eastAsia"/>
          <w:sz w:val="32"/>
          <w:szCs w:val="32"/>
        </w:rPr>
        <w:t>2.努力创新教学督导的方式方法，加强对教学质量的督导力度。一年来，学院在规范教学秩序的基础上，多措并举，强化教学督导的功能，执行听评课等常态化的督导活动，为教学质量保驾护航。通过开展经常性的教学视导、组织举办院级高职教学观摩课和开展学生随堂评教活动，更好地促进服务教育教学质量的提高。</w:t>
      </w:r>
    </w:p>
    <w:p w:rsidR="00526FBB" w:rsidRPr="00992B30" w:rsidRDefault="00526FBB"/>
    <w:sectPr w:rsidR="00526FBB" w:rsidRPr="00992B30" w:rsidSect="00526FB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BD7" w:rsidRDefault="000F7BD7" w:rsidP="00992B30">
      <w:r>
        <w:separator/>
      </w:r>
    </w:p>
  </w:endnote>
  <w:endnote w:type="continuationSeparator" w:id="0">
    <w:p w:rsidR="000F7BD7" w:rsidRDefault="000F7BD7" w:rsidP="00992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30" w:rsidRDefault="00992B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30" w:rsidRDefault="00992B3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30" w:rsidRDefault="00992B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BD7" w:rsidRDefault="000F7BD7" w:rsidP="00992B30">
      <w:r>
        <w:separator/>
      </w:r>
    </w:p>
  </w:footnote>
  <w:footnote w:type="continuationSeparator" w:id="0">
    <w:p w:rsidR="000F7BD7" w:rsidRDefault="000F7BD7" w:rsidP="00992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30" w:rsidRDefault="00992B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30" w:rsidRPr="00992B30" w:rsidRDefault="00992B30" w:rsidP="00992B30">
    <w:pPr>
      <w:pStyle w:val="a3"/>
      <w:ind w:firstLineChars="200" w:firstLine="420"/>
      <w:jc w:val="both"/>
      <w:rPr>
        <w:sz w:val="21"/>
        <w:szCs w:val="21"/>
        <w:u w:val="single"/>
      </w:rPr>
    </w:pPr>
    <w:r>
      <w:rPr>
        <w:rFonts w:ascii="楷体_GB2312" w:eastAsia="楷体_GB2312" w:hint="eastAsia"/>
        <w:noProof/>
        <w:sz w:val="21"/>
        <w:szCs w:val="21"/>
      </w:rPr>
      <w:drawing>
        <wp:anchor distT="0" distB="0" distL="114300" distR="114300" simplePos="0" relativeHeight="251658240" behindDoc="0" locked="0" layoutInCell="1" allowOverlap="1">
          <wp:simplePos x="0" y="0"/>
          <wp:positionH relativeFrom="page">
            <wp:posOffset>1076325</wp:posOffset>
          </wp:positionH>
          <wp:positionV relativeFrom="page">
            <wp:posOffset>447675</wp:posOffset>
          </wp:positionV>
          <wp:extent cx="323850" cy="323850"/>
          <wp:effectExtent l="19050" t="0" r="0" b="0"/>
          <wp:wrapNone/>
          <wp:docPr id="1" name="Picture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anchor>
      </w:drawing>
    </w:r>
    <w:r>
      <w:rPr>
        <w:rFonts w:ascii="楷体_GB2312" w:eastAsia="楷体_GB2312" w:hint="eastAsia"/>
        <w:sz w:val="21"/>
        <w:szCs w:val="21"/>
      </w:rPr>
      <w:t xml:space="preserve">汕头职业技术学院 </w:t>
    </w:r>
    <w:r>
      <w:rPr>
        <w:rFonts w:hint="eastAsia"/>
        <w:sz w:val="21"/>
        <w:szCs w:val="21"/>
      </w:rPr>
      <w:t xml:space="preserve">                         </w:t>
    </w:r>
    <w:r>
      <w:rPr>
        <w:rFonts w:ascii="楷体_GB2312" w:eastAsia="楷体_GB2312" w:hint="eastAsia"/>
        <w:sz w:val="21"/>
        <w:szCs w:val="21"/>
      </w:rPr>
      <w:t>高等职业教育质量年度报告</w:t>
    </w:r>
    <w:r>
      <w:rPr>
        <w:rFonts w:hint="eastAsia"/>
        <w:sz w:val="21"/>
        <w:szCs w:val="21"/>
      </w:rPr>
      <w:t>（</w:t>
    </w:r>
    <w:r>
      <w:rPr>
        <w:rFonts w:hint="eastAsia"/>
        <w:sz w:val="21"/>
        <w:szCs w:val="21"/>
      </w:rPr>
      <w:t>2018</w:t>
    </w:r>
    <w:r>
      <w:rPr>
        <w:rFonts w:hint="eastAsia"/>
        <w:sz w:val="21"/>
        <w:szCs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30" w:rsidRDefault="00992B3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2B30"/>
    <w:rsid w:val="000F7BD7"/>
    <w:rsid w:val="00526FBB"/>
    <w:rsid w:val="00992B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92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2B30"/>
    <w:rPr>
      <w:sz w:val="18"/>
      <w:szCs w:val="18"/>
    </w:rPr>
  </w:style>
  <w:style w:type="paragraph" w:styleId="a4">
    <w:name w:val="footer"/>
    <w:basedOn w:val="a"/>
    <w:link w:val="Char0"/>
    <w:uiPriority w:val="99"/>
    <w:semiHidden/>
    <w:unhideWhenUsed/>
    <w:rsid w:val="00992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2B30"/>
    <w:rPr>
      <w:sz w:val="18"/>
      <w:szCs w:val="18"/>
    </w:rPr>
  </w:style>
  <w:style w:type="paragraph" w:styleId="a5">
    <w:name w:val="Balloon Text"/>
    <w:basedOn w:val="a"/>
    <w:link w:val="Char1"/>
    <w:uiPriority w:val="99"/>
    <w:semiHidden/>
    <w:unhideWhenUsed/>
    <w:rsid w:val="00992B30"/>
    <w:rPr>
      <w:sz w:val="18"/>
      <w:szCs w:val="18"/>
    </w:rPr>
  </w:style>
  <w:style w:type="character" w:customStyle="1" w:styleId="Char1">
    <w:name w:val="批注框文本 Char"/>
    <w:basedOn w:val="a0"/>
    <w:link w:val="a5"/>
    <w:uiPriority w:val="99"/>
    <w:semiHidden/>
    <w:rsid w:val="00992B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2018-01-19T07:48:00Z</dcterms:created>
  <dcterms:modified xsi:type="dcterms:W3CDTF">2018-01-19T07:49:00Z</dcterms:modified>
</cp:coreProperties>
</file>